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3" w:rsidRPr="005F281F" w:rsidRDefault="000D6563" w:rsidP="00DE5743">
      <w:pPr>
        <w:tabs>
          <w:tab w:val="left" w:pos="-720"/>
          <w:tab w:val="left" w:pos="360"/>
          <w:tab w:val="left" w:pos="900"/>
          <w:tab w:val="left" w:pos="4320"/>
          <w:tab w:val="left" w:pos="4860"/>
          <w:tab w:val="left" w:pos="5400"/>
        </w:tabs>
        <w:autoSpaceDE w:val="0"/>
        <w:autoSpaceDN w:val="0"/>
        <w:ind w:left="5220"/>
        <w:jc w:val="right"/>
        <w:rPr>
          <w:rFonts w:ascii="Arial" w:hAnsi="Arial" w:cs="Arial"/>
          <w:b/>
          <w:bCs/>
          <w:iCs/>
        </w:rPr>
      </w:pPr>
      <w:r w:rsidRPr="005F281F">
        <w:rPr>
          <w:rFonts w:ascii="Arial" w:hAnsi="Arial" w:cs="Arial"/>
          <w:b/>
          <w:bCs/>
          <w:iCs/>
        </w:rPr>
        <w:t>ПРИЛОЖЕНИЕ № 1</w:t>
      </w:r>
      <w:r w:rsidR="00592E9B" w:rsidRPr="005F281F">
        <w:rPr>
          <w:rFonts w:ascii="Arial" w:hAnsi="Arial" w:cs="Arial"/>
          <w:b/>
          <w:bCs/>
          <w:iCs/>
        </w:rPr>
        <w:t>а</w:t>
      </w:r>
    </w:p>
    <w:p w:rsidR="00DE5743" w:rsidRPr="005F281F" w:rsidRDefault="00DE5743" w:rsidP="00DE5743">
      <w:pPr>
        <w:tabs>
          <w:tab w:val="left" w:pos="-720"/>
          <w:tab w:val="left" w:pos="360"/>
          <w:tab w:val="left" w:pos="900"/>
          <w:tab w:val="left" w:pos="4320"/>
          <w:tab w:val="left" w:pos="4860"/>
          <w:tab w:val="left" w:pos="5400"/>
        </w:tabs>
        <w:jc w:val="right"/>
        <w:rPr>
          <w:rFonts w:ascii="Arial" w:hAnsi="Arial" w:cs="Arial"/>
          <w:b/>
          <w:bCs/>
          <w:iCs/>
        </w:rPr>
      </w:pPr>
      <w:r w:rsidRPr="005F281F">
        <w:rPr>
          <w:rFonts w:ascii="Arial" w:eastAsia="@PMingLiU" w:hAnsi="Arial" w:cs="Arial"/>
          <w:b/>
        </w:rPr>
        <w:tab/>
      </w:r>
      <w:r w:rsidRPr="005F281F">
        <w:rPr>
          <w:rFonts w:ascii="Arial" w:eastAsia="@PMingLiU" w:hAnsi="Arial" w:cs="Arial"/>
          <w:b/>
        </w:rPr>
        <w:tab/>
      </w:r>
      <w:r w:rsidRPr="005F281F">
        <w:rPr>
          <w:rFonts w:ascii="Arial" w:hAnsi="Arial" w:cs="Arial"/>
          <w:b/>
        </w:rPr>
        <w:t xml:space="preserve">к Договору № </w:t>
      </w:r>
      <w:r w:rsidR="005C793D">
        <w:rPr>
          <w:rFonts w:ascii="Arial" w:hAnsi="Arial" w:cs="Arial"/>
          <w:b/>
        </w:rPr>
        <w:t>____ на оказание услуг от ____</w:t>
      </w:r>
      <w:r w:rsidR="00592E9B" w:rsidRPr="005F281F">
        <w:rPr>
          <w:rFonts w:ascii="Arial" w:hAnsi="Arial" w:cs="Arial"/>
          <w:b/>
        </w:rPr>
        <w:t>.0</w:t>
      </w:r>
      <w:r w:rsidR="00847835" w:rsidRPr="005F281F">
        <w:rPr>
          <w:rFonts w:ascii="Arial" w:hAnsi="Arial" w:cs="Arial"/>
          <w:b/>
        </w:rPr>
        <w:t>8</w:t>
      </w:r>
      <w:r w:rsidRPr="005F281F">
        <w:rPr>
          <w:rFonts w:ascii="Arial" w:hAnsi="Arial" w:cs="Arial"/>
          <w:b/>
        </w:rPr>
        <w:t>.201</w:t>
      </w:r>
      <w:r w:rsidR="00847835" w:rsidRPr="005F281F">
        <w:rPr>
          <w:rFonts w:ascii="Arial" w:hAnsi="Arial" w:cs="Arial"/>
          <w:b/>
        </w:rPr>
        <w:t>4</w:t>
      </w:r>
      <w:r w:rsidRPr="005F281F">
        <w:rPr>
          <w:rFonts w:ascii="Arial" w:hAnsi="Arial" w:cs="Arial"/>
          <w:b/>
        </w:rPr>
        <w:t>г.</w:t>
      </w:r>
    </w:p>
    <w:p w:rsidR="00DE5743" w:rsidRDefault="00DE5743" w:rsidP="00C93015">
      <w:pPr>
        <w:pStyle w:val="a3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F281F" w:rsidRDefault="005F281F" w:rsidP="00C93015">
      <w:pPr>
        <w:pStyle w:val="a3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F281F" w:rsidRPr="005F281F" w:rsidRDefault="005F281F" w:rsidP="00C93015">
      <w:pPr>
        <w:pStyle w:val="a3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C4078" w:rsidRPr="005F281F" w:rsidRDefault="00C93015" w:rsidP="005F281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5F281F">
        <w:rPr>
          <w:rFonts w:ascii="Arial" w:hAnsi="Arial" w:cs="Arial"/>
          <w:b/>
        </w:rPr>
        <w:t>Перечень и стоимость услуг по управлению инфраструктурой  объекта, техническому обслуживанию</w:t>
      </w:r>
      <w:r w:rsidR="00F52311" w:rsidRPr="005F281F">
        <w:rPr>
          <w:rFonts w:ascii="Arial" w:hAnsi="Arial" w:cs="Arial"/>
          <w:b/>
        </w:rPr>
        <w:t xml:space="preserve"> и</w:t>
      </w:r>
      <w:r w:rsidRPr="005F281F">
        <w:rPr>
          <w:rFonts w:ascii="Arial" w:hAnsi="Arial" w:cs="Arial"/>
          <w:b/>
        </w:rPr>
        <w:t xml:space="preserve"> техническому консалтингу</w:t>
      </w:r>
      <w:r w:rsidR="00F8538A" w:rsidRPr="005F281F">
        <w:rPr>
          <w:rFonts w:ascii="Arial" w:hAnsi="Arial" w:cs="Arial"/>
          <w:b/>
        </w:rPr>
        <w:t>.</w:t>
      </w:r>
    </w:p>
    <w:p w:rsidR="00DC4078" w:rsidRPr="005F281F" w:rsidRDefault="00DC4078" w:rsidP="001B40AB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W w:w="9782" w:type="dxa"/>
        <w:tblInd w:w="-318" w:type="dxa"/>
        <w:tblLook w:val="00A0" w:firstRow="1" w:lastRow="0" w:firstColumn="1" w:lastColumn="0" w:noHBand="0" w:noVBand="0"/>
      </w:tblPr>
      <w:tblGrid>
        <w:gridCol w:w="636"/>
        <w:gridCol w:w="828"/>
        <w:gridCol w:w="8318"/>
      </w:tblGrid>
      <w:tr w:rsidR="005F281F" w:rsidRPr="005F281F" w:rsidTr="005F281F">
        <w:trPr>
          <w:trHeight w:val="375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281F" w:rsidRPr="005F281F" w:rsidRDefault="005F281F" w:rsidP="005F281F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81F" w:rsidRPr="005F281F" w:rsidRDefault="005F281F" w:rsidP="005F281F">
            <w:pPr>
              <w:spacing w:after="0" w:line="240" w:lineRule="auto"/>
              <w:ind w:firstLineChars="1500" w:firstLine="3313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ОБЩАЯ СТОИМОСТЬ УСЛУГ: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Управление инфраструктурой объекта</w:t>
            </w:r>
          </w:p>
        </w:tc>
      </w:tr>
      <w:tr w:rsidR="005F281F" w:rsidRPr="005F281F" w:rsidTr="005F281F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1F70FE">
            <w:pPr>
              <w:spacing w:after="0" w:line="240" w:lineRule="auto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Организация услуг и работ, управление техническим персоналом, координация работ и услуг, осуществляемых подрядчиками.</w:t>
            </w:r>
          </w:p>
        </w:tc>
      </w:tr>
      <w:tr w:rsidR="005F281F" w:rsidRPr="005F281F" w:rsidTr="005F281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1.2.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Обеспечение необходимого количества специалистов на Объекте в целях выполнения услуг, перечисленных в данном перечне.</w:t>
            </w:r>
          </w:p>
        </w:tc>
      </w:tr>
      <w:tr w:rsidR="005F281F" w:rsidRPr="005F281F" w:rsidTr="005F281F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1.3.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3223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 xml:space="preserve">Осуществление контроля соблюдения работающими существующих норм и правил по Охране труда и Противопожарной безопасности на Объекте, правил и положений по пользованию Объектом и его инфраструктурой. </w:t>
            </w:r>
          </w:p>
          <w:p w:rsidR="005F281F" w:rsidRPr="005F281F" w:rsidRDefault="005F281F" w:rsidP="003223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 xml:space="preserve">Информирование Заказчика о фактах нарушении.  </w:t>
            </w:r>
          </w:p>
        </w:tc>
      </w:tr>
      <w:tr w:rsidR="005F281F" w:rsidRPr="005F281F" w:rsidTr="005F281F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1.4.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32232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Организация контроля производства работ (перепланировок, изменений в составе инженерного оборудования, ремонтов  и  проч.)  при  производстве СМР  (строительно-монтажных работ)  производителями  работ в помещениях Объекта.</w:t>
            </w:r>
          </w:p>
        </w:tc>
      </w:tr>
      <w:tr w:rsidR="005F281F" w:rsidRPr="005F281F" w:rsidTr="005F281F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5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02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Разработка Планов по контролю технического состояния объекта, техническому обслуживанию и ремонту инженерных систем, мониторингу строительной части Объекта, передача Собственнику ежемесячных отчетов об их выполнении.</w:t>
            </w:r>
          </w:p>
        </w:tc>
      </w:tr>
      <w:tr w:rsidR="005F281F" w:rsidRPr="005F281F" w:rsidTr="005F281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02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Ведение учета потребления энергоресурсов, предоставление Собственнику отчетов с месячной регулярностью, а также сводного отчета за год с предложением по возможному сокращению расходов, связанных с энергопотреблением.</w:t>
            </w:r>
          </w:p>
        </w:tc>
      </w:tr>
      <w:tr w:rsidR="005F281F" w:rsidRPr="005F281F" w:rsidTr="005F281F">
        <w:trPr>
          <w:trHeight w:val="4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1.7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02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Сотрудничество с государственными органами технического надзора при проведении проверок Объекта.</w:t>
            </w:r>
          </w:p>
        </w:tc>
      </w:tr>
      <w:tr w:rsidR="005F281F" w:rsidRPr="005F281F" w:rsidTr="005F281F">
        <w:trPr>
          <w:trHeight w:val="5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0281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Сотрудничество с государственными органами экологического контроля и административно-технического надзора при проведении проверок Объекта.</w:t>
            </w:r>
          </w:p>
        </w:tc>
      </w:tr>
      <w:tr w:rsidR="005F281F" w:rsidRPr="005F281F" w:rsidTr="005F281F">
        <w:trPr>
          <w:trHeight w:val="4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9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0402D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Организация исполнения предписаний государственных органов экологического контроля и административно-технического надзора.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0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0402D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Подготовка и представление Собственнику ежемесячных отчетов о потреблении электроэнергии и воды.</w:t>
            </w:r>
          </w:p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D64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Организация и оказание услуг по техническому обслуживанию, контролю, проведению профилактических работ инженерных систем и техническому консалтингу</w:t>
            </w:r>
          </w:p>
        </w:tc>
      </w:tr>
      <w:tr w:rsidR="005F281F" w:rsidRPr="005F281F" w:rsidTr="005F281F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1F" w:rsidRPr="005F281F" w:rsidRDefault="005F281F" w:rsidP="00DC40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Управление, контроль и обслуживание систем электроснабжения и освещения Объекта: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2.1.1.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2337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 xml:space="preserve">Учет потребления и контроль качества электроэнергии 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034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2.1.2.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0344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Обеспечение оптимального режима потребления электроэнергии.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0344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2.1.3.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0344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Обеспечение надежного электроснабжения в соответствии с расчетной надежностью силовых электроустановок Собственника.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2.1.4.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0344E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Выполнение оперативного переключения для восстановления подачи электроэнергии.</w:t>
            </w:r>
          </w:p>
        </w:tc>
      </w:tr>
      <w:tr w:rsidR="005F281F" w:rsidRPr="005F281F" w:rsidTr="005F281F">
        <w:trPr>
          <w:trHeight w:val="2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B23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2.1.5.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C012A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Локализация и устранение аварийных ситуаций.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B23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2.1.6.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C01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Организация и проведение технического обслуживания, планово-предупредительных работ, регламентных работ, профилактического ремонта, технического обслуживания систем электрооборудования и электрического освещения (в соответствии с планами проведения технического обслуживания и профилактического ремонта).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B234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2.1.7.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C01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Проверка работы пусковой, регулирующей и защитной аппаратуры (в соответствии с планами проведения технического обслуживания и профилактического ремонта).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2.1.</w:t>
            </w:r>
            <w:r>
              <w:rPr>
                <w:rFonts w:ascii="Arial" w:hAnsi="Arial" w:cs="Arial"/>
              </w:rPr>
              <w:t>8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B23431">
            <w:pPr>
              <w:tabs>
                <w:tab w:val="num" w:pos="720"/>
                <w:tab w:val="num" w:pos="9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Регулярная проверка электрооборудования и электрических сетей (в соответствии с планами проведения технического обслуживания и профилактического ремонта).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2.2.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D648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Управление, контроль и обслуживание систем теплоснабжения Объекта:</w:t>
            </w:r>
          </w:p>
        </w:tc>
      </w:tr>
      <w:tr w:rsidR="005F281F" w:rsidRPr="005F281F" w:rsidTr="005F281F">
        <w:trPr>
          <w:trHeight w:val="2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2.2.1. 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4D64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Организация и проведение технического обслуживания, планово-предупредительных работ, регламентных работ, профилактического ремонта, технического обслуживания систем теплоснабжения теплового и энергетического оборудования (в соответствии с планами проведения технического обслуживания и профилактического ремонта).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2.2.</w:t>
            </w:r>
            <w:r>
              <w:rPr>
                <w:rFonts w:ascii="Arial" w:hAnsi="Arial" w:cs="Arial"/>
              </w:rPr>
              <w:t>2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C2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Проведение работ на месте для восстановления работоспособности системы теплоснабжения.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2.2.</w:t>
            </w:r>
            <w:r>
              <w:rPr>
                <w:rFonts w:ascii="Arial" w:hAnsi="Arial" w:cs="Arial"/>
              </w:rPr>
              <w:t>3</w:t>
            </w:r>
            <w:r w:rsidRPr="005F281F">
              <w:rPr>
                <w:rFonts w:ascii="Arial" w:hAnsi="Arial" w:cs="Arial"/>
              </w:rPr>
              <w:t>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3420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Локализация и устранение аварийных ситуаций.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2.4.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342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Управление, контроль и обслуживание систем водоснабжения, канализации и дренажной системы Объекта: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2.4.1.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44F3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 xml:space="preserve">Учет снабжения и потребления воды, необходимой для водоснабжения Объекта недвижимости 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2.4.2.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Контроль оптимизации режима водопотребления.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2.4.3.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Выполнение оперативных работ по восстановлению водоснабжения.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2.4.4.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Локализация и устранение аварийных ситуаций.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2.4.5.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Организация и проведение технического обслуживания, планово-предупредительных работ, регламентных работ, профилактического ремонта, технического обслуживания систем водоснабжения, канализации, (в соответствии с планами проведения технического обслуживания и профилактического ремонта и руководством по эксплуатации оборудования).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2.6. 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  <w:b/>
                <w:bCs/>
              </w:rPr>
              <w:t>Контроль работоспособности систем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2.6.1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C34E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Система доступа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2.6.2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C34E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Охранная сигнализация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2.6.3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C34E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Система видеонаблюдения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2.6.4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7E16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Системы СКС и системы  диспетчеризации</w:t>
            </w:r>
          </w:p>
        </w:tc>
      </w:tr>
      <w:tr w:rsidR="005F281F" w:rsidRPr="005F281F" w:rsidTr="005F281F">
        <w:trPr>
          <w:trHeight w:val="5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AD2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2.7.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847835">
            <w:pPr>
              <w:spacing w:after="10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  <w:b/>
                <w:bCs/>
              </w:rPr>
              <w:t>Контроль работоспособности прочего оборудования  Объекта: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2.7.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AD25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Проведение периодических проверок прочего оборудования (в соответствии с планами проведения технического обслуживания и профилактического ремонта).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5F2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2.7.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0F65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Обслуживание прочего оборудования (Доводчики, краны, замки, вентили и т.п.)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267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C34EA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F281F">
              <w:rPr>
                <w:rFonts w:ascii="Arial" w:hAnsi="Arial" w:cs="Arial"/>
                <w:b/>
              </w:rPr>
              <w:t>Обслуживание лифтов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0F65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5F281F">
              <w:rPr>
                <w:rFonts w:ascii="Arial" w:hAnsi="Arial" w:cs="Arial"/>
              </w:rPr>
              <w:t>Ежедневный осмотр и контроль оборудования.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  <w:r w:rsidRPr="005F281F">
              <w:rPr>
                <w:rFonts w:ascii="Arial" w:hAnsi="Arial" w:cs="Arial"/>
                <w:b/>
              </w:rPr>
              <w:t>2.9.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0F65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  <w:b/>
                <w:bCs/>
              </w:rPr>
              <w:t>Строения, сооружения, организация контроля технического состояния всех строений, сооружений и зон общего пользования  Объекта.</w:t>
            </w:r>
          </w:p>
        </w:tc>
      </w:tr>
      <w:tr w:rsidR="005F281F" w:rsidRPr="005F281F" w:rsidTr="005F281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DC40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 2.9.1.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1F" w:rsidRPr="005F281F" w:rsidRDefault="005F281F" w:rsidP="000F65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281F">
              <w:rPr>
                <w:rFonts w:ascii="Arial" w:hAnsi="Arial" w:cs="Arial"/>
              </w:rPr>
              <w:t>Выполнение мелкого ремонта мебели, косметического ремонта стен, потолков МОП, окон, напольного покрытия, ремонт и замена доводчиков дверей, ремонт замков, раздвижных и распашных решеток, закрашивание и забеливание, грязных, вышарканных и выгоревших мест  в объемах не более указанных в приложении №1в.</w:t>
            </w:r>
          </w:p>
        </w:tc>
      </w:tr>
    </w:tbl>
    <w:p w:rsidR="003A0D9C" w:rsidRPr="005F281F" w:rsidRDefault="003A0D9C" w:rsidP="00400EE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00EE0" w:rsidRPr="005F281F" w:rsidRDefault="00400EE0" w:rsidP="00B944A8">
      <w:pPr>
        <w:spacing w:after="0" w:line="360" w:lineRule="auto"/>
        <w:jc w:val="both"/>
        <w:rPr>
          <w:rFonts w:ascii="Arial" w:hAnsi="Arial" w:cs="Arial"/>
        </w:rPr>
        <w:sectPr w:rsidR="00400EE0" w:rsidRPr="005F281F" w:rsidSect="00A77245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5191"/>
        <w:gridCol w:w="4874"/>
      </w:tblGrid>
      <w:tr w:rsidR="005F281F" w:rsidRPr="00466B6A" w:rsidTr="00A77245">
        <w:tc>
          <w:tcPr>
            <w:tcW w:w="5191" w:type="dxa"/>
          </w:tcPr>
          <w:p w:rsidR="005F281F" w:rsidRPr="00466B6A" w:rsidRDefault="005F281F" w:rsidP="00AD0986">
            <w:pPr>
              <w:keepNext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</w:rPr>
            </w:pPr>
            <w:r w:rsidRPr="00466B6A">
              <w:rPr>
                <w:rFonts w:ascii="Arial" w:hAnsi="Arial" w:cs="Arial"/>
                <w:b/>
              </w:rPr>
              <w:lastRenderedPageBreak/>
              <w:t>КООПЕРАТИВ</w:t>
            </w:r>
            <w:r w:rsidR="00A772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74" w:type="dxa"/>
          </w:tcPr>
          <w:p w:rsidR="005F281F" w:rsidRPr="00466B6A" w:rsidRDefault="005F281F" w:rsidP="00AD0986">
            <w:pPr>
              <w:keepNext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</w:rPr>
            </w:pPr>
            <w:r w:rsidRPr="00466B6A">
              <w:rPr>
                <w:rFonts w:ascii="Arial" w:hAnsi="Arial" w:cs="Arial"/>
                <w:b/>
              </w:rPr>
              <w:t>ЭКСПЛУАТИРУЮЩАЯ КОМПАНИЯ</w:t>
            </w:r>
            <w:r w:rsidR="00A77245">
              <w:rPr>
                <w:rFonts w:ascii="Arial" w:hAnsi="Arial" w:cs="Arial"/>
                <w:b/>
              </w:rPr>
              <w:t>:</w:t>
            </w:r>
          </w:p>
        </w:tc>
      </w:tr>
      <w:tr w:rsidR="005F281F" w:rsidRPr="00466B6A" w:rsidTr="00A77245">
        <w:trPr>
          <w:trHeight w:val="520"/>
        </w:trPr>
        <w:tc>
          <w:tcPr>
            <w:tcW w:w="5191" w:type="dxa"/>
          </w:tcPr>
          <w:p w:rsidR="005F281F" w:rsidRPr="005F281F" w:rsidRDefault="005F281F" w:rsidP="005F281F">
            <w:pPr>
              <w:jc w:val="both"/>
              <w:rPr>
                <w:rFonts w:ascii="Arial" w:hAnsi="Arial" w:cs="Arial"/>
                <w:b/>
              </w:rPr>
            </w:pPr>
            <w:r w:rsidRPr="00466B6A">
              <w:rPr>
                <w:rFonts w:ascii="Arial" w:hAnsi="Arial" w:cs="Arial"/>
                <w:b/>
              </w:rPr>
              <w:t>ОЭПК «Ленинский 153»</w:t>
            </w:r>
          </w:p>
        </w:tc>
        <w:tc>
          <w:tcPr>
            <w:tcW w:w="4874" w:type="dxa"/>
          </w:tcPr>
          <w:p w:rsidR="005F281F" w:rsidRPr="00466B6A" w:rsidRDefault="005C793D" w:rsidP="00AD0986">
            <w:pPr>
              <w:keepNext/>
              <w:spacing w:line="20" w:lineRule="atLeast"/>
              <w:outlineLvl w:val="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«БФ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5F281F" w:rsidRPr="00466B6A" w:rsidTr="00A77245">
        <w:trPr>
          <w:trHeight w:val="1163"/>
        </w:trPr>
        <w:tc>
          <w:tcPr>
            <w:tcW w:w="5191" w:type="dxa"/>
          </w:tcPr>
          <w:p w:rsidR="005F281F" w:rsidRPr="00466B6A" w:rsidRDefault="005F281F" w:rsidP="00AD0986">
            <w:pPr>
              <w:pStyle w:val="ad"/>
              <w:jc w:val="both"/>
              <w:rPr>
                <w:rFonts w:ascii="Arial" w:hAnsi="Arial" w:cs="Arial"/>
                <w:b/>
              </w:rPr>
            </w:pPr>
            <w:r w:rsidRPr="00466B6A">
              <w:rPr>
                <w:rFonts w:ascii="Arial" w:hAnsi="Arial" w:cs="Arial"/>
                <w:b/>
              </w:rPr>
              <w:t>Председатель правления</w:t>
            </w:r>
          </w:p>
          <w:p w:rsidR="005F281F" w:rsidRPr="005C793D" w:rsidRDefault="005F281F" w:rsidP="00AD0986">
            <w:pPr>
              <w:rPr>
                <w:rFonts w:ascii="Arial" w:hAnsi="Arial" w:cs="Arial"/>
                <w:sz w:val="12"/>
                <w:szCs w:val="12"/>
              </w:rPr>
            </w:pPr>
          </w:p>
          <w:p w:rsidR="005C793D" w:rsidRPr="005C793D" w:rsidRDefault="005C793D" w:rsidP="00AD0986">
            <w:pPr>
              <w:rPr>
                <w:rFonts w:ascii="Arial" w:hAnsi="Arial" w:cs="Arial"/>
                <w:sz w:val="10"/>
                <w:szCs w:val="10"/>
              </w:rPr>
            </w:pPr>
          </w:p>
          <w:p w:rsidR="005F281F" w:rsidRPr="00466B6A" w:rsidRDefault="005F281F" w:rsidP="00AD0986">
            <w:pPr>
              <w:rPr>
                <w:rFonts w:ascii="Arial" w:hAnsi="Arial" w:cs="Arial"/>
              </w:rPr>
            </w:pPr>
            <w:r w:rsidRPr="00466B6A">
              <w:rPr>
                <w:rFonts w:ascii="Arial" w:hAnsi="Arial" w:cs="Arial"/>
              </w:rPr>
              <w:t xml:space="preserve">_____________________ </w:t>
            </w:r>
            <w:r w:rsidRPr="00466B6A">
              <w:rPr>
                <w:rFonts w:ascii="Arial" w:hAnsi="Arial" w:cs="Arial"/>
                <w:b/>
              </w:rPr>
              <w:t>К.К. Кулёв</w:t>
            </w:r>
          </w:p>
        </w:tc>
        <w:tc>
          <w:tcPr>
            <w:tcW w:w="4874" w:type="dxa"/>
          </w:tcPr>
          <w:p w:rsidR="005F281F" w:rsidRPr="00C73CBF" w:rsidRDefault="005F281F" w:rsidP="00AD0986">
            <w:pPr>
              <w:keepNext/>
              <w:jc w:val="both"/>
              <w:outlineLvl w:val="6"/>
              <w:rPr>
                <w:rFonts w:ascii="Arial" w:hAnsi="Arial" w:cs="Arial"/>
                <w:b/>
                <w:bCs/>
              </w:rPr>
            </w:pPr>
            <w:r w:rsidRPr="00C73CBF">
              <w:rPr>
                <w:rFonts w:ascii="Arial" w:hAnsi="Arial" w:cs="Arial"/>
                <w:b/>
                <w:bCs/>
              </w:rPr>
              <w:t xml:space="preserve">Генеральный директор  </w:t>
            </w:r>
          </w:p>
          <w:p w:rsidR="00A77245" w:rsidRDefault="00A77245" w:rsidP="00AD0986">
            <w:pPr>
              <w:keepNext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</w:rPr>
            </w:pPr>
          </w:p>
          <w:p w:rsidR="005F281F" w:rsidRPr="00466B6A" w:rsidRDefault="005F281F" w:rsidP="00AD0986">
            <w:pPr>
              <w:keepNext/>
              <w:spacing w:line="20" w:lineRule="atLeast"/>
              <w:jc w:val="both"/>
              <w:outlineLvl w:val="6"/>
              <w:rPr>
                <w:rFonts w:ascii="Arial" w:hAnsi="Arial" w:cs="Arial"/>
                <w:b/>
                <w:bCs/>
              </w:rPr>
            </w:pPr>
            <w:r w:rsidRPr="00C73CBF">
              <w:rPr>
                <w:rFonts w:ascii="Arial" w:hAnsi="Arial" w:cs="Arial"/>
                <w:b/>
                <w:bCs/>
              </w:rPr>
              <w:t xml:space="preserve"> </w:t>
            </w:r>
            <w:r w:rsidRPr="00A77245">
              <w:rPr>
                <w:rFonts w:ascii="Arial" w:hAnsi="Arial" w:cs="Arial"/>
                <w:bCs/>
              </w:rPr>
              <w:t xml:space="preserve">__________________ </w:t>
            </w:r>
            <w:r w:rsidRPr="00C73CBF">
              <w:rPr>
                <w:rFonts w:ascii="Arial" w:hAnsi="Arial" w:cs="Arial"/>
                <w:b/>
                <w:bCs/>
              </w:rPr>
              <w:t>Н.В. Чернышова</w:t>
            </w:r>
          </w:p>
        </w:tc>
      </w:tr>
    </w:tbl>
    <w:p w:rsidR="003A0D9C" w:rsidRPr="005F281F" w:rsidRDefault="003A0D9C" w:rsidP="00AA5AFC">
      <w:pPr>
        <w:spacing w:after="0" w:line="240" w:lineRule="auto"/>
        <w:jc w:val="both"/>
        <w:rPr>
          <w:rFonts w:ascii="Arial" w:hAnsi="Arial" w:cs="Arial"/>
        </w:rPr>
      </w:pPr>
    </w:p>
    <w:sectPr w:rsidR="003A0D9C" w:rsidRPr="005F281F" w:rsidSect="00AF02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9A" w:rsidRDefault="00BC519A" w:rsidP="00DC4078">
      <w:pPr>
        <w:spacing w:after="0" w:line="240" w:lineRule="auto"/>
      </w:pPr>
      <w:r>
        <w:separator/>
      </w:r>
    </w:p>
  </w:endnote>
  <w:endnote w:type="continuationSeparator" w:id="0">
    <w:p w:rsidR="00BC519A" w:rsidRDefault="00BC519A" w:rsidP="00DC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9A" w:rsidRDefault="00BC519A" w:rsidP="00DC4078">
      <w:pPr>
        <w:spacing w:after="0" w:line="240" w:lineRule="auto"/>
      </w:pPr>
      <w:r>
        <w:separator/>
      </w:r>
    </w:p>
  </w:footnote>
  <w:footnote w:type="continuationSeparator" w:id="0">
    <w:p w:rsidR="00BC519A" w:rsidRDefault="00BC519A" w:rsidP="00DC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63A"/>
    <w:multiLevelType w:val="multilevel"/>
    <w:tmpl w:val="6B2E3D32"/>
    <w:lvl w:ilvl="0">
      <w:start w:val="1"/>
      <w:numFmt w:val="decimal"/>
      <w:lvlText w:val="2.6.%1."/>
      <w:lvlJc w:val="left"/>
      <w:pPr>
        <w:tabs>
          <w:tab w:val="num" w:pos="540"/>
        </w:tabs>
        <w:ind w:left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">
    <w:nsid w:val="062C0925"/>
    <w:multiLevelType w:val="hybridMultilevel"/>
    <w:tmpl w:val="3AC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C234B"/>
    <w:multiLevelType w:val="multilevel"/>
    <w:tmpl w:val="630C62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">
    <w:nsid w:val="38334659"/>
    <w:multiLevelType w:val="multilevel"/>
    <w:tmpl w:val="05526330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C1D71B9"/>
    <w:multiLevelType w:val="multilevel"/>
    <w:tmpl w:val="70A00C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5">
    <w:nsid w:val="428A73EC"/>
    <w:multiLevelType w:val="singleLevel"/>
    <w:tmpl w:val="046C23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C3550ED"/>
    <w:multiLevelType w:val="multilevel"/>
    <w:tmpl w:val="6AD4ADE6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0A7989"/>
    <w:multiLevelType w:val="multilevel"/>
    <w:tmpl w:val="046E2E00"/>
    <w:lvl w:ilvl="0">
      <w:start w:val="1"/>
      <w:numFmt w:val="decimal"/>
      <w:lvlText w:val="2.2.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7A1068"/>
    <w:multiLevelType w:val="hybridMultilevel"/>
    <w:tmpl w:val="1DFCC972"/>
    <w:lvl w:ilvl="0" w:tplc="A70E6CD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0B27D1F"/>
    <w:multiLevelType w:val="hybridMultilevel"/>
    <w:tmpl w:val="DFBA9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24C0F08"/>
    <w:multiLevelType w:val="hybridMultilevel"/>
    <w:tmpl w:val="DFBA9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3571F1F"/>
    <w:multiLevelType w:val="hybridMultilevel"/>
    <w:tmpl w:val="080C1AD4"/>
    <w:lvl w:ilvl="0" w:tplc="AB4062FE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360073D"/>
    <w:multiLevelType w:val="multilevel"/>
    <w:tmpl w:val="6A44490A"/>
    <w:lvl w:ilvl="0">
      <w:start w:val="1"/>
      <w:numFmt w:val="decimal"/>
      <w:lvlText w:val="1.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8C32A82"/>
    <w:multiLevelType w:val="hybridMultilevel"/>
    <w:tmpl w:val="DD6C38C8"/>
    <w:lvl w:ilvl="0" w:tplc="F8CE8FE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CC0949"/>
    <w:multiLevelType w:val="singleLevel"/>
    <w:tmpl w:val="B9823C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F89761B"/>
    <w:multiLevelType w:val="multilevel"/>
    <w:tmpl w:val="630C62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D"/>
    <w:rsid w:val="0001415D"/>
    <w:rsid w:val="000141FF"/>
    <w:rsid w:val="000366BF"/>
    <w:rsid w:val="000402D2"/>
    <w:rsid w:val="00043FCD"/>
    <w:rsid w:val="00057D5C"/>
    <w:rsid w:val="00085749"/>
    <w:rsid w:val="000A61FA"/>
    <w:rsid w:val="000B1C15"/>
    <w:rsid w:val="000B2CE9"/>
    <w:rsid w:val="000D5558"/>
    <w:rsid w:val="000D6563"/>
    <w:rsid w:val="000F6579"/>
    <w:rsid w:val="000F6AC9"/>
    <w:rsid w:val="00117336"/>
    <w:rsid w:val="001454EF"/>
    <w:rsid w:val="00150BBF"/>
    <w:rsid w:val="001524BB"/>
    <w:rsid w:val="00154E25"/>
    <w:rsid w:val="00162891"/>
    <w:rsid w:val="00191634"/>
    <w:rsid w:val="001A38B5"/>
    <w:rsid w:val="001A43AA"/>
    <w:rsid w:val="001B40AB"/>
    <w:rsid w:val="001B7DB1"/>
    <w:rsid w:val="001D5E0E"/>
    <w:rsid w:val="001E2D2B"/>
    <w:rsid w:val="001F6783"/>
    <w:rsid w:val="001F70FE"/>
    <w:rsid w:val="002320BA"/>
    <w:rsid w:val="002324B0"/>
    <w:rsid w:val="00232C4F"/>
    <w:rsid w:val="002564A5"/>
    <w:rsid w:val="00263EE9"/>
    <w:rsid w:val="00267E70"/>
    <w:rsid w:val="0028371C"/>
    <w:rsid w:val="00283D57"/>
    <w:rsid w:val="002A053F"/>
    <w:rsid w:val="002A73DE"/>
    <w:rsid w:val="002B436E"/>
    <w:rsid w:val="002C7E82"/>
    <w:rsid w:val="002E1B3E"/>
    <w:rsid w:val="002F0732"/>
    <w:rsid w:val="0030447A"/>
    <w:rsid w:val="0032232B"/>
    <w:rsid w:val="00343426"/>
    <w:rsid w:val="00346301"/>
    <w:rsid w:val="00354E2F"/>
    <w:rsid w:val="00365001"/>
    <w:rsid w:val="003720EA"/>
    <w:rsid w:val="00395C96"/>
    <w:rsid w:val="003A0D9C"/>
    <w:rsid w:val="003A156E"/>
    <w:rsid w:val="003C5870"/>
    <w:rsid w:val="003E4210"/>
    <w:rsid w:val="003F3F74"/>
    <w:rsid w:val="00400EE0"/>
    <w:rsid w:val="00407063"/>
    <w:rsid w:val="004414D6"/>
    <w:rsid w:val="00447460"/>
    <w:rsid w:val="00467AA0"/>
    <w:rsid w:val="00470CBF"/>
    <w:rsid w:val="00474DCD"/>
    <w:rsid w:val="004926B5"/>
    <w:rsid w:val="004A6A73"/>
    <w:rsid w:val="004B57D4"/>
    <w:rsid w:val="004C012A"/>
    <w:rsid w:val="004D648D"/>
    <w:rsid w:val="004E30CE"/>
    <w:rsid w:val="0050344E"/>
    <w:rsid w:val="00513A2E"/>
    <w:rsid w:val="0053137A"/>
    <w:rsid w:val="0053169F"/>
    <w:rsid w:val="0053209F"/>
    <w:rsid w:val="00565FB5"/>
    <w:rsid w:val="00592E9B"/>
    <w:rsid w:val="00597649"/>
    <w:rsid w:val="005C793D"/>
    <w:rsid w:val="005F281F"/>
    <w:rsid w:val="00602302"/>
    <w:rsid w:val="00635833"/>
    <w:rsid w:val="00666A18"/>
    <w:rsid w:val="00667DFB"/>
    <w:rsid w:val="006A280F"/>
    <w:rsid w:val="006A4F5B"/>
    <w:rsid w:val="006B0273"/>
    <w:rsid w:val="006D04E4"/>
    <w:rsid w:val="006E568C"/>
    <w:rsid w:val="00731B0A"/>
    <w:rsid w:val="007951AC"/>
    <w:rsid w:val="007B1CAA"/>
    <w:rsid w:val="007B2626"/>
    <w:rsid w:val="007B50B8"/>
    <w:rsid w:val="007C0CEE"/>
    <w:rsid w:val="007C2012"/>
    <w:rsid w:val="007C5FD1"/>
    <w:rsid w:val="007D0F32"/>
    <w:rsid w:val="007E165B"/>
    <w:rsid w:val="007F763B"/>
    <w:rsid w:val="0080384E"/>
    <w:rsid w:val="008129A1"/>
    <w:rsid w:val="00814398"/>
    <w:rsid w:val="00824A5D"/>
    <w:rsid w:val="00827671"/>
    <w:rsid w:val="00845133"/>
    <w:rsid w:val="00846216"/>
    <w:rsid w:val="00847835"/>
    <w:rsid w:val="00860EC4"/>
    <w:rsid w:val="008715A6"/>
    <w:rsid w:val="008722C0"/>
    <w:rsid w:val="008A3A89"/>
    <w:rsid w:val="008C6E60"/>
    <w:rsid w:val="008D498C"/>
    <w:rsid w:val="009050E6"/>
    <w:rsid w:val="00906499"/>
    <w:rsid w:val="00936FCA"/>
    <w:rsid w:val="00956D8C"/>
    <w:rsid w:val="0096164A"/>
    <w:rsid w:val="009732D6"/>
    <w:rsid w:val="00995420"/>
    <w:rsid w:val="009A0B41"/>
    <w:rsid w:val="009C1734"/>
    <w:rsid w:val="009C400D"/>
    <w:rsid w:val="009C455F"/>
    <w:rsid w:val="00A46594"/>
    <w:rsid w:val="00A47187"/>
    <w:rsid w:val="00A60C29"/>
    <w:rsid w:val="00A75236"/>
    <w:rsid w:val="00A77245"/>
    <w:rsid w:val="00AA2700"/>
    <w:rsid w:val="00AA5AFC"/>
    <w:rsid w:val="00AA7BDA"/>
    <w:rsid w:val="00AB3149"/>
    <w:rsid w:val="00AD0511"/>
    <w:rsid w:val="00AD2563"/>
    <w:rsid w:val="00AF0260"/>
    <w:rsid w:val="00AF5763"/>
    <w:rsid w:val="00AF5FA8"/>
    <w:rsid w:val="00B12495"/>
    <w:rsid w:val="00B23431"/>
    <w:rsid w:val="00B300DF"/>
    <w:rsid w:val="00B54232"/>
    <w:rsid w:val="00B60AE2"/>
    <w:rsid w:val="00B7005B"/>
    <w:rsid w:val="00B944A8"/>
    <w:rsid w:val="00BA7F14"/>
    <w:rsid w:val="00BB79AB"/>
    <w:rsid w:val="00BC25C6"/>
    <w:rsid w:val="00BC36EB"/>
    <w:rsid w:val="00BC519A"/>
    <w:rsid w:val="00C143C3"/>
    <w:rsid w:val="00C2268E"/>
    <w:rsid w:val="00C25584"/>
    <w:rsid w:val="00C34EAD"/>
    <w:rsid w:val="00C55566"/>
    <w:rsid w:val="00C60113"/>
    <w:rsid w:val="00C62182"/>
    <w:rsid w:val="00C70A50"/>
    <w:rsid w:val="00C863F9"/>
    <w:rsid w:val="00C90543"/>
    <w:rsid w:val="00C9156E"/>
    <w:rsid w:val="00C93015"/>
    <w:rsid w:val="00C94B9B"/>
    <w:rsid w:val="00CA44D6"/>
    <w:rsid w:val="00CB0621"/>
    <w:rsid w:val="00CB1937"/>
    <w:rsid w:val="00CD2D2B"/>
    <w:rsid w:val="00D0281D"/>
    <w:rsid w:val="00D05B8A"/>
    <w:rsid w:val="00D05F66"/>
    <w:rsid w:val="00D23378"/>
    <w:rsid w:val="00D3001E"/>
    <w:rsid w:val="00D321DC"/>
    <w:rsid w:val="00D3420D"/>
    <w:rsid w:val="00D44F36"/>
    <w:rsid w:val="00D4553C"/>
    <w:rsid w:val="00D5683F"/>
    <w:rsid w:val="00D82282"/>
    <w:rsid w:val="00D855BA"/>
    <w:rsid w:val="00D92E95"/>
    <w:rsid w:val="00DB384C"/>
    <w:rsid w:val="00DC4078"/>
    <w:rsid w:val="00DD33F2"/>
    <w:rsid w:val="00DE5743"/>
    <w:rsid w:val="00DF74A7"/>
    <w:rsid w:val="00E04F21"/>
    <w:rsid w:val="00E13FA0"/>
    <w:rsid w:val="00E22184"/>
    <w:rsid w:val="00E45D95"/>
    <w:rsid w:val="00E939B6"/>
    <w:rsid w:val="00E93C91"/>
    <w:rsid w:val="00E95169"/>
    <w:rsid w:val="00E953F3"/>
    <w:rsid w:val="00EF2277"/>
    <w:rsid w:val="00F02D18"/>
    <w:rsid w:val="00F05C35"/>
    <w:rsid w:val="00F15860"/>
    <w:rsid w:val="00F20613"/>
    <w:rsid w:val="00F2452D"/>
    <w:rsid w:val="00F30598"/>
    <w:rsid w:val="00F52311"/>
    <w:rsid w:val="00F8538A"/>
    <w:rsid w:val="00F91174"/>
    <w:rsid w:val="00F93DF2"/>
    <w:rsid w:val="00F9699C"/>
    <w:rsid w:val="00FA5217"/>
    <w:rsid w:val="00FA70C8"/>
    <w:rsid w:val="00FB1D92"/>
    <w:rsid w:val="00FC5AED"/>
    <w:rsid w:val="00FD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87711-6D38-4364-BFF4-E079AA3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3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0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A44D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C4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078"/>
    <w:rPr>
      <w:rFonts w:cs="Times New Roman"/>
    </w:rPr>
  </w:style>
  <w:style w:type="paragraph" w:styleId="a9">
    <w:name w:val="footer"/>
    <w:basedOn w:val="a"/>
    <w:link w:val="aa"/>
    <w:uiPriority w:val="99"/>
    <w:rsid w:val="00DC4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078"/>
    <w:rPr>
      <w:rFonts w:cs="Times New Roman"/>
    </w:rPr>
  </w:style>
  <w:style w:type="paragraph" w:styleId="ab">
    <w:name w:val="Body Text"/>
    <w:basedOn w:val="a"/>
    <w:link w:val="ac"/>
    <w:uiPriority w:val="99"/>
    <w:rsid w:val="00F93DF2"/>
    <w:pPr>
      <w:autoSpaceDE w:val="0"/>
      <w:autoSpaceDN w:val="0"/>
      <w:spacing w:after="240" w:line="240" w:lineRule="atLeast"/>
      <w:ind w:firstLine="360"/>
      <w:jc w:val="both"/>
    </w:pPr>
    <w:rPr>
      <w:rFonts w:ascii="Garamond" w:hAnsi="Garamond" w:cs="Garamond"/>
      <w:kern w:val="18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F93DF2"/>
    <w:rPr>
      <w:rFonts w:ascii="Garamond" w:hAnsi="Garamond" w:cs="Garamond"/>
      <w:kern w:val="18"/>
      <w:sz w:val="20"/>
      <w:szCs w:val="20"/>
      <w:lang w:val="en-US"/>
    </w:rPr>
  </w:style>
  <w:style w:type="paragraph" w:styleId="ad">
    <w:name w:val="No Spacing"/>
    <w:uiPriority w:val="1"/>
    <w:qFormat/>
    <w:rsid w:val="005F281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D5E6F-18F1-4735-A52E-3EA86BFE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UserPC</cp:lastModifiedBy>
  <cp:revision>2</cp:revision>
  <cp:lastPrinted>2014-08-18T14:58:00Z</cp:lastPrinted>
  <dcterms:created xsi:type="dcterms:W3CDTF">2014-08-18T14:58:00Z</dcterms:created>
  <dcterms:modified xsi:type="dcterms:W3CDTF">2014-08-18T14:58:00Z</dcterms:modified>
</cp:coreProperties>
</file>